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D9" w:rsidRDefault="009E1F57" w:rsidP="00A5441E">
      <w:pPr>
        <w:rPr>
          <w:sz w:val="18"/>
          <w:szCs w:val="18"/>
          <w:lang w:val="de-DE"/>
        </w:rPr>
      </w:pPr>
      <w:r w:rsidRPr="009E1F57">
        <w:rPr>
          <w:sz w:val="18"/>
          <w:szCs w:val="18"/>
          <w:lang w:val="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4.65pt;height:26.6pt">
            <v:shadow on="t" opacity="52429f"/>
            <v:textpath style="font-family:&quot;Arial Black&quot;;font-style:italic;v-text-kern:t" trim="t" fitpath="t" string="Lotterie / Tombola / Ausspielungen"/>
          </v:shape>
        </w:pict>
      </w:r>
    </w:p>
    <w:p w:rsidR="00A279D9" w:rsidRDefault="00A279D9" w:rsidP="00A5441E">
      <w:pPr>
        <w:rPr>
          <w:sz w:val="18"/>
          <w:szCs w:val="18"/>
          <w:lang w:val="de-DE"/>
        </w:rPr>
      </w:pPr>
    </w:p>
    <w:p w:rsidR="00BB6534" w:rsidRPr="00A279D9" w:rsidRDefault="00BB6534" w:rsidP="00A5441E">
      <w:pPr>
        <w:rPr>
          <w:sz w:val="20"/>
          <w:szCs w:val="20"/>
          <w:lang w:val="de-DE"/>
        </w:rPr>
      </w:pPr>
      <w:r w:rsidRPr="00A279D9">
        <w:rPr>
          <w:sz w:val="20"/>
          <w:szCs w:val="20"/>
          <w:lang w:val="de-DE"/>
        </w:rPr>
        <w:t>Lotterie</w:t>
      </w:r>
      <w:r w:rsidR="00FF65DA">
        <w:rPr>
          <w:sz w:val="20"/>
          <w:szCs w:val="20"/>
          <w:lang w:val="de-DE"/>
        </w:rPr>
        <w:t>n, Tombolas und</w:t>
      </w:r>
      <w:r w:rsidR="000A2576">
        <w:rPr>
          <w:sz w:val="20"/>
          <w:szCs w:val="20"/>
          <w:lang w:val="de-DE"/>
        </w:rPr>
        <w:t xml:space="preserve"> Ausspielungen können</w:t>
      </w:r>
      <w:r w:rsidRPr="00A279D9">
        <w:rPr>
          <w:sz w:val="20"/>
          <w:szCs w:val="20"/>
          <w:lang w:val="de-DE"/>
        </w:rPr>
        <w:t xml:space="preserve"> durch Vereine, Elternbeirat etc. </w:t>
      </w:r>
      <w:r w:rsidR="000A2576">
        <w:rPr>
          <w:sz w:val="20"/>
          <w:szCs w:val="20"/>
          <w:lang w:val="de-DE"/>
        </w:rPr>
        <w:t>veranstaltet</w:t>
      </w:r>
      <w:r w:rsidRPr="00A279D9">
        <w:rPr>
          <w:sz w:val="20"/>
          <w:szCs w:val="20"/>
          <w:lang w:val="de-DE"/>
        </w:rPr>
        <w:t xml:space="preserve"> werden, jedoch NICHT von Gewerbetreibenden</w:t>
      </w:r>
      <w:r w:rsidR="00A279D9" w:rsidRPr="00A279D9">
        <w:rPr>
          <w:sz w:val="20"/>
          <w:szCs w:val="20"/>
          <w:lang w:val="de-DE"/>
        </w:rPr>
        <w:t xml:space="preserve"> und NICHT von Privatpersonen.</w:t>
      </w:r>
    </w:p>
    <w:p w:rsidR="00BB6534" w:rsidRPr="00A279D9" w:rsidRDefault="00BB6534" w:rsidP="00A5441E">
      <w:pPr>
        <w:rPr>
          <w:sz w:val="20"/>
          <w:szCs w:val="20"/>
          <w:lang w:val="de-DE"/>
        </w:rPr>
      </w:pPr>
    </w:p>
    <w:p w:rsidR="00BB6534" w:rsidRPr="00A279D9" w:rsidRDefault="004D0832" w:rsidP="00A5441E">
      <w:pPr>
        <w:rPr>
          <w:sz w:val="20"/>
          <w:szCs w:val="20"/>
          <w:lang w:val="de-DE"/>
        </w:rPr>
      </w:pPr>
      <w:r>
        <w:rPr>
          <w:sz w:val="20"/>
          <w:szCs w:val="20"/>
          <w:lang w:val="de-DE"/>
        </w:rPr>
        <w:t xml:space="preserve">Die </w:t>
      </w:r>
      <w:r w:rsidR="00A279D9" w:rsidRPr="00A279D9">
        <w:rPr>
          <w:sz w:val="20"/>
          <w:szCs w:val="20"/>
          <w:lang w:val="de-DE"/>
        </w:rPr>
        <w:t>Lotterie/Tom</w:t>
      </w:r>
      <w:r>
        <w:rPr>
          <w:sz w:val="20"/>
          <w:szCs w:val="20"/>
          <w:lang w:val="de-DE"/>
        </w:rPr>
        <w:t>b</w:t>
      </w:r>
      <w:r w:rsidR="00A279D9" w:rsidRPr="00A279D9">
        <w:rPr>
          <w:sz w:val="20"/>
          <w:szCs w:val="20"/>
          <w:lang w:val="de-DE"/>
        </w:rPr>
        <w:t>ola</w:t>
      </w:r>
      <w:r w:rsidR="00FF65DA">
        <w:rPr>
          <w:sz w:val="20"/>
          <w:szCs w:val="20"/>
          <w:lang w:val="de-DE"/>
        </w:rPr>
        <w:t>/Ausspielung</w:t>
      </w:r>
      <w:r w:rsidR="000A2576">
        <w:rPr>
          <w:sz w:val="20"/>
          <w:szCs w:val="20"/>
          <w:lang w:val="de-DE"/>
        </w:rPr>
        <w:t xml:space="preserve"> mu</w:t>
      </w:r>
      <w:r>
        <w:rPr>
          <w:sz w:val="20"/>
          <w:szCs w:val="20"/>
          <w:lang w:val="de-DE"/>
        </w:rPr>
        <w:t>ss</w:t>
      </w:r>
      <w:r w:rsidR="00A279D9" w:rsidRPr="00A279D9">
        <w:rPr>
          <w:sz w:val="20"/>
          <w:szCs w:val="20"/>
          <w:lang w:val="de-DE"/>
        </w:rPr>
        <w:t xml:space="preserve"> </w:t>
      </w:r>
      <w:r w:rsidR="00A279D9">
        <w:rPr>
          <w:sz w:val="20"/>
          <w:szCs w:val="20"/>
          <w:lang w:val="de-DE"/>
        </w:rPr>
        <w:t xml:space="preserve">durch die genannten Institutionen/Vereine </w:t>
      </w:r>
      <w:r>
        <w:rPr>
          <w:sz w:val="20"/>
          <w:szCs w:val="20"/>
          <w:lang w:val="de-DE"/>
        </w:rPr>
        <w:t>mit</w:t>
      </w:r>
      <w:r w:rsidR="00A279D9" w:rsidRPr="00A279D9">
        <w:rPr>
          <w:sz w:val="20"/>
          <w:szCs w:val="20"/>
          <w:lang w:val="de-DE"/>
        </w:rPr>
        <w:t xml:space="preserve"> unseren Anzeige</w:t>
      </w:r>
      <w:r>
        <w:rPr>
          <w:sz w:val="20"/>
          <w:szCs w:val="20"/>
          <w:lang w:val="de-DE"/>
        </w:rPr>
        <w:t>n</w:t>
      </w:r>
      <w:r w:rsidR="00A279D9" w:rsidRPr="00A279D9">
        <w:rPr>
          <w:sz w:val="20"/>
          <w:szCs w:val="20"/>
          <w:lang w:val="de-DE"/>
        </w:rPr>
        <w:t>-Vordruck mindestens 1 Woche vorher schriftlich angezeig</w:t>
      </w:r>
      <w:r w:rsidR="000A2576">
        <w:rPr>
          <w:sz w:val="20"/>
          <w:szCs w:val="20"/>
          <w:lang w:val="de-DE"/>
        </w:rPr>
        <w:t>t werden</w:t>
      </w:r>
      <w:r w:rsidR="00A279D9" w:rsidRPr="00A279D9">
        <w:rPr>
          <w:sz w:val="20"/>
          <w:szCs w:val="20"/>
          <w:lang w:val="de-DE"/>
        </w:rPr>
        <w:t xml:space="preserve">. </w:t>
      </w:r>
    </w:p>
    <w:p w:rsidR="00A279D9" w:rsidRPr="00A279D9" w:rsidRDefault="00A279D9" w:rsidP="00A5441E">
      <w:pPr>
        <w:rPr>
          <w:sz w:val="20"/>
          <w:szCs w:val="20"/>
          <w:lang w:val="de-DE"/>
        </w:rPr>
      </w:pPr>
    </w:p>
    <w:p w:rsidR="00A279D9" w:rsidRDefault="00A279D9" w:rsidP="00A5441E">
      <w:pPr>
        <w:rPr>
          <w:b/>
          <w:sz w:val="20"/>
          <w:szCs w:val="20"/>
          <w:lang w:val="de-DE"/>
        </w:rPr>
      </w:pPr>
      <w:r w:rsidRPr="008D6125">
        <w:rPr>
          <w:b/>
          <w:sz w:val="20"/>
          <w:szCs w:val="20"/>
          <w:lang w:val="de-DE"/>
        </w:rPr>
        <w:t xml:space="preserve">Bei der Ausspielung </w:t>
      </w:r>
      <w:r w:rsidRPr="008D6125">
        <w:rPr>
          <w:b/>
          <w:sz w:val="20"/>
          <w:szCs w:val="20"/>
          <w:u w:val="single"/>
          <w:lang w:val="de-DE"/>
        </w:rPr>
        <w:t>geringwertiger Gegenstände</w:t>
      </w:r>
      <w:r w:rsidR="00CD1E1C" w:rsidRPr="008D6125">
        <w:rPr>
          <w:b/>
          <w:sz w:val="20"/>
          <w:szCs w:val="20"/>
          <w:u w:val="single"/>
          <w:lang w:val="de-DE"/>
        </w:rPr>
        <w:t xml:space="preserve"> bis 650 Euro</w:t>
      </w:r>
      <w:r w:rsidRPr="008D6125">
        <w:rPr>
          <w:b/>
          <w:sz w:val="20"/>
          <w:szCs w:val="20"/>
          <w:u w:val="single"/>
          <w:lang w:val="de-DE"/>
        </w:rPr>
        <w:t xml:space="preserve"> bei Volksbelustigungen ist keine </w:t>
      </w:r>
      <w:r w:rsidR="001813E3">
        <w:rPr>
          <w:b/>
          <w:sz w:val="20"/>
          <w:szCs w:val="20"/>
          <w:u w:val="single"/>
          <w:lang w:val="de-DE"/>
        </w:rPr>
        <w:t xml:space="preserve">Erlaubnis </w:t>
      </w:r>
      <w:r w:rsidRPr="008D6125">
        <w:rPr>
          <w:b/>
          <w:sz w:val="20"/>
          <w:szCs w:val="20"/>
          <w:lang w:val="de-DE"/>
        </w:rPr>
        <w:t xml:space="preserve">nach § </w:t>
      </w:r>
      <w:r w:rsidR="001813E3">
        <w:rPr>
          <w:b/>
          <w:sz w:val="20"/>
          <w:szCs w:val="20"/>
          <w:lang w:val="de-DE"/>
        </w:rPr>
        <w:t>12 Abs. 1</w:t>
      </w:r>
      <w:r w:rsidRPr="008D6125">
        <w:rPr>
          <w:b/>
          <w:sz w:val="20"/>
          <w:szCs w:val="20"/>
          <w:lang w:val="de-DE"/>
        </w:rPr>
        <w:t xml:space="preserve"> GlüStV erforderlich</w:t>
      </w:r>
      <w:r w:rsidR="008D6125" w:rsidRPr="008D6125">
        <w:rPr>
          <w:b/>
          <w:sz w:val="20"/>
          <w:szCs w:val="20"/>
          <w:lang w:val="de-DE"/>
        </w:rPr>
        <w:t xml:space="preserve">, aber </w:t>
      </w:r>
      <w:r w:rsidR="00EA22DA">
        <w:rPr>
          <w:b/>
          <w:sz w:val="20"/>
          <w:szCs w:val="20"/>
          <w:lang w:val="de-DE"/>
        </w:rPr>
        <w:t xml:space="preserve">bei der VGem. Wittislingen </w:t>
      </w:r>
      <w:r w:rsidR="008D6125" w:rsidRPr="008D6125">
        <w:rPr>
          <w:b/>
          <w:sz w:val="20"/>
          <w:szCs w:val="20"/>
          <w:lang w:val="de-DE"/>
        </w:rPr>
        <w:t>anzeigepflichtig.</w:t>
      </w:r>
    </w:p>
    <w:p w:rsidR="000A2576" w:rsidRDefault="000A2576" w:rsidP="00A5441E">
      <w:pPr>
        <w:rPr>
          <w:b/>
          <w:sz w:val="20"/>
          <w:szCs w:val="20"/>
          <w:lang w:val="de-DE"/>
        </w:rPr>
      </w:pPr>
      <w:r>
        <w:rPr>
          <w:b/>
          <w:sz w:val="20"/>
          <w:szCs w:val="20"/>
          <w:lang w:val="de-DE"/>
        </w:rPr>
        <w:t>Ab 650 Euro ist eine Erlaubnis erforderlich,</w:t>
      </w:r>
      <w:r w:rsidR="00FF65DA">
        <w:rPr>
          <w:b/>
          <w:sz w:val="20"/>
          <w:szCs w:val="20"/>
          <w:lang w:val="de-DE"/>
        </w:rPr>
        <w:t xml:space="preserve"> auf die aber kein Rechtsansp</w:t>
      </w:r>
      <w:r w:rsidR="00EA22DA">
        <w:rPr>
          <w:b/>
          <w:sz w:val="20"/>
          <w:szCs w:val="20"/>
          <w:lang w:val="de-DE"/>
        </w:rPr>
        <w:t>r</w:t>
      </w:r>
      <w:r w:rsidR="00FF65DA">
        <w:rPr>
          <w:b/>
          <w:sz w:val="20"/>
          <w:szCs w:val="20"/>
          <w:lang w:val="de-DE"/>
        </w:rPr>
        <w:t>uch besteht (§</w:t>
      </w:r>
      <w:r w:rsidR="00610779">
        <w:rPr>
          <w:b/>
          <w:sz w:val="20"/>
          <w:szCs w:val="20"/>
          <w:lang w:val="de-DE"/>
        </w:rPr>
        <w:t xml:space="preserve"> </w:t>
      </w:r>
      <w:r w:rsidR="00FF65DA">
        <w:rPr>
          <w:b/>
          <w:sz w:val="20"/>
          <w:szCs w:val="20"/>
          <w:lang w:val="de-DE"/>
        </w:rPr>
        <w:t>4 Abs. 2 Satz 3 GlüStV)</w:t>
      </w:r>
      <w:r>
        <w:rPr>
          <w:b/>
          <w:sz w:val="20"/>
          <w:szCs w:val="20"/>
          <w:lang w:val="de-DE"/>
        </w:rPr>
        <w:t xml:space="preserve"> die </w:t>
      </w:r>
      <w:r w:rsidR="001813E3">
        <w:rPr>
          <w:b/>
          <w:sz w:val="20"/>
          <w:szCs w:val="20"/>
          <w:lang w:val="de-DE"/>
        </w:rPr>
        <w:t xml:space="preserve">Kosten für diese Erlaubnis betragen </w:t>
      </w:r>
      <w:r>
        <w:rPr>
          <w:b/>
          <w:sz w:val="20"/>
          <w:szCs w:val="20"/>
          <w:lang w:val="de-DE"/>
        </w:rPr>
        <w:t>mind</w:t>
      </w:r>
      <w:r w:rsidR="001813E3">
        <w:rPr>
          <w:b/>
          <w:sz w:val="20"/>
          <w:szCs w:val="20"/>
          <w:lang w:val="de-DE"/>
        </w:rPr>
        <w:t>e</w:t>
      </w:r>
      <w:r>
        <w:rPr>
          <w:b/>
          <w:sz w:val="20"/>
          <w:szCs w:val="20"/>
          <w:lang w:val="de-DE"/>
        </w:rPr>
        <w:t>st</w:t>
      </w:r>
      <w:r w:rsidR="001813E3">
        <w:rPr>
          <w:b/>
          <w:sz w:val="20"/>
          <w:szCs w:val="20"/>
          <w:lang w:val="de-DE"/>
        </w:rPr>
        <w:t>ens</w:t>
      </w:r>
      <w:r>
        <w:rPr>
          <w:b/>
          <w:sz w:val="20"/>
          <w:szCs w:val="20"/>
          <w:lang w:val="de-DE"/>
        </w:rPr>
        <w:t xml:space="preserve"> </w:t>
      </w:r>
      <w:r w:rsidR="001813E3">
        <w:rPr>
          <w:b/>
          <w:sz w:val="20"/>
          <w:szCs w:val="20"/>
          <w:lang w:val="de-DE"/>
        </w:rPr>
        <w:t>30 Euro.</w:t>
      </w:r>
    </w:p>
    <w:p w:rsidR="001813E3" w:rsidRDefault="001813E3" w:rsidP="00A5441E">
      <w:pPr>
        <w:rPr>
          <w:b/>
          <w:sz w:val="20"/>
          <w:szCs w:val="20"/>
          <w:lang w:val="de-DE"/>
        </w:rPr>
      </w:pPr>
    </w:p>
    <w:p w:rsidR="001813E3" w:rsidRPr="008D6125" w:rsidRDefault="001813E3" w:rsidP="00A5441E">
      <w:pPr>
        <w:rPr>
          <w:b/>
          <w:color w:val="FF0000"/>
          <w:sz w:val="20"/>
          <w:szCs w:val="20"/>
          <w:lang w:val="de-DE"/>
        </w:rPr>
      </w:pPr>
      <w:r>
        <w:rPr>
          <w:b/>
          <w:sz w:val="20"/>
          <w:szCs w:val="20"/>
          <w:lang w:val="de-DE"/>
        </w:rPr>
        <w:t>Eine Schriftliche Abrechnung über Einnahmen und Ausgaben mit Belegen ist nach Veranstaltung vorzulegen und nachzuweisen</w:t>
      </w:r>
      <w:r w:rsidR="000D5913">
        <w:rPr>
          <w:b/>
          <w:sz w:val="20"/>
          <w:szCs w:val="20"/>
          <w:lang w:val="de-DE"/>
        </w:rPr>
        <w:t>, welcher Betrag dem gemeinnützigen oder mildtätigen Zweck zur Verfügung gestellt w</w:t>
      </w:r>
      <w:r w:rsidR="00FF65DA">
        <w:rPr>
          <w:b/>
          <w:sz w:val="20"/>
          <w:szCs w:val="20"/>
          <w:lang w:val="de-DE"/>
        </w:rPr>
        <w:t>ird</w:t>
      </w:r>
      <w:r w:rsidR="000D5913">
        <w:rPr>
          <w:b/>
          <w:sz w:val="20"/>
          <w:szCs w:val="20"/>
          <w:lang w:val="de-DE"/>
        </w:rPr>
        <w:t>.</w:t>
      </w:r>
    </w:p>
    <w:p w:rsidR="00BB6534" w:rsidRDefault="00BB6534" w:rsidP="00A5441E">
      <w:pPr>
        <w:rPr>
          <w:lang w:val="de-DE"/>
        </w:rPr>
      </w:pPr>
    </w:p>
    <w:p w:rsidR="00BB6534" w:rsidRPr="006D7FBB" w:rsidRDefault="00BB6534" w:rsidP="00A5441E">
      <w:pPr>
        <w:shd w:val="clear" w:color="auto" w:fill="BFBFBF" w:themeFill="background1" w:themeFillShade="BF"/>
        <w:rPr>
          <w:rFonts w:ascii="Arial" w:hAnsi="Arial" w:cs="Arial"/>
          <w:b/>
          <w:lang w:val="de-DE"/>
        </w:rPr>
      </w:pPr>
      <w:r w:rsidRPr="006D7FBB">
        <w:rPr>
          <w:rFonts w:ascii="Arial" w:hAnsi="Arial" w:cs="Arial"/>
          <w:b/>
          <w:lang w:val="de-DE"/>
        </w:rPr>
        <w:t>Kl</w:t>
      </w:r>
      <w:r w:rsidR="006D7FBB">
        <w:rPr>
          <w:rFonts w:ascii="Arial" w:hAnsi="Arial" w:cs="Arial"/>
          <w:b/>
          <w:lang w:val="de-DE"/>
        </w:rPr>
        <w:t>eine Lotterie und Ausspielung - Definition</w:t>
      </w:r>
    </w:p>
    <w:p w:rsidR="006D7FBB" w:rsidRDefault="006D7FBB" w:rsidP="00A5441E">
      <w:pPr>
        <w:rPr>
          <w:sz w:val="18"/>
          <w:szCs w:val="18"/>
          <w:lang w:val="de-DE"/>
        </w:rPr>
      </w:pPr>
    </w:p>
    <w:p w:rsidR="00BB6534" w:rsidRPr="006D7FBB" w:rsidRDefault="00BB6534" w:rsidP="00A5441E">
      <w:pPr>
        <w:rPr>
          <w:sz w:val="20"/>
          <w:szCs w:val="20"/>
          <w:lang w:val="de-DE"/>
        </w:rPr>
      </w:pPr>
      <w:r w:rsidRPr="006D7FBB">
        <w:rPr>
          <w:sz w:val="20"/>
          <w:szCs w:val="20"/>
          <w:lang w:val="de-DE"/>
        </w:rPr>
        <w:t>- Summe der entrichteten Entgelte</w:t>
      </w:r>
      <w:r w:rsidR="00CD1E1C">
        <w:rPr>
          <w:sz w:val="20"/>
          <w:szCs w:val="20"/>
          <w:lang w:val="de-DE"/>
        </w:rPr>
        <w:t xml:space="preserve"> ab 650,- € und</w:t>
      </w:r>
      <w:r w:rsidRPr="006D7FBB">
        <w:rPr>
          <w:sz w:val="20"/>
          <w:szCs w:val="20"/>
          <w:lang w:val="de-DE"/>
        </w:rPr>
        <w:t xml:space="preserve"> unter 40.000 €</w:t>
      </w:r>
    </w:p>
    <w:p w:rsidR="00BB6534" w:rsidRDefault="00F74FEE" w:rsidP="00A5441E">
      <w:pPr>
        <w:rPr>
          <w:sz w:val="20"/>
          <w:szCs w:val="20"/>
          <w:lang w:val="de-DE"/>
        </w:rPr>
      </w:pPr>
      <w:r w:rsidRPr="005D5499">
        <w:rPr>
          <w:sz w:val="20"/>
          <w:szCs w:val="20"/>
          <w:lang w:val="de-DE"/>
        </w:rPr>
        <w:t>Der Veranstalter der Lotterie, Au</w:t>
      </w:r>
      <w:r w:rsidR="001C4C5D">
        <w:rPr>
          <w:sz w:val="20"/>
          <w:szCs w:val="20"/>
          <w:lang w:val="de-DE"/>
        </w:rPr>
        <w:t>s</w:t>
      </w:r>
      <w:r w:rsidRPr="005D5499">
        <w:rPr>
          <w:sz w:val="20"/>
          <w:szCs w:val="20"/>
          <w:lang w:val="de-DE"/>
        </w:rPr>
        <w:t>spielung, Tombola muss gemeinnützig, mildtätig oder kirchlich t</w:t>
      </w:r>
      <w:r w:rsidR="001C4C5D">
        <w:rPr>
          <w:sz w:val="20"/>
          <w:szCs w:val="20"/>
          <w:lang w:val="de-DE"/>
        </w:rPr>
        <w:t>ätig und von der Zah</w:t>
      </w:r>
      <w:r w:rsidRPr="005D5499">
        <w:rPr>
          <w:sz w:val="20"/>
          <w:szCs w:val="20"/>
          <w:lang w:val="de-DE"/>
        </w:rPr>
        <w:t xml:space="preserve">lung der Körperschaftssteuer befreit sein. </w:t>
      </w:r>
      <w:r w:rsidR="005D5499">
        <w:rPr>
          <w:sz w:val="20"/>
          <w:szCs w:val="20"/>
          <w:lang w:val="de-DE"/>
        </w:rPr>
        <w:t xml:space="preserve">Der Reinertrag ist für diese Zwecke zu verwenden. Davon abweichend kann der Veranstalter mit einem Spielkapital bis zu 40.000 € auch eine nicht rechtsfähige soziale Einrichtung, z. B. ein Kindergartenbeirat oder Elternbeirat an einer Schule, sein. Privatpersonen oder Gewerbetreibende sind als Veranstalter ausgeschlossen. </w:t>
      </w:r>
    </w:p>
    <w:p w:rsidR="005D5499" w:rsidRDefault="005D5499" w:rsidP="00A5441E">
      <w:pPr>
        <w:rPr>
          <w:sz w:val="20"/>
          <w:szCs w:val="20"/>
          <w:lang w:val="de-DE"/>
        </w:rPr>
      </w:pPr>
      <w:r>
        <w:rPr>
          <w:sz w:val="20"/>
          <w:szCs w:val="20"/>
          <w:lang w:val="de-DE"/>
        </w:rPr>
        <w:t>-Die Lotterie, Ausspielund und Tombola darf den Erfordernissen des Jugendschutzes nicht zuwiderlaufen. (grundsätzlich keine Teilnahme Minderjähriger).</w:t>
      </w:r>
    </w:p>
    <w:p w:rsidR="005D5499" w:rsidRDefault="005D5499" w:rsidP="00A5441E">
      <w:pPr>
        <w:rPr>
          <w:sz w:val="20"/>
          <w:szCs w:val="20"/>
          <w:lang w:val="de-DE"/>
        </w:rPr>
      </w:pPr>
      <w:r>
        <w:rPr>
          <w:sz w:val="20"/>
          <w:szCs w:val="20"/>
          <w:lang w:val="de-DE"/>
        </w:rPr>
        <w:t>-Der Reinertrag, die Gewinnsumme und die Kosten der Lot</w:t>
      </w:r>
      <w:r w:rsidR="001C4C5D">
        <w:rPr>
          <w:sz w:val="20"/>
          <w:szCs w:val="20"/>
          <w:lang w:val="de-DE"/>
        </w:rPr>
        <w:t>t</w:t>
      </w:r>
      <w:r>
        <w:rPr>
          <w:sz w:val="20"/>
          <w:szCs w:val="20"/>
          <w:lang w:val="de-DE"/>
        </w:rPr>
        <w:t>erie/Aus</w:t>
      </w:r>
      <w:r w:rsidR="001C4C5D">
        <w:rPr>
          <w:sz w:val="20"/>
          <w:szCs w:val="20"/>
          <w:lang w:val="de-DE"/>
        </w:rPr>
        <w:t>s</w:t>
      </w:r>
      <w:r>
        <w:rPr>
          <w:sz w:val="20"/>
          <w:szCs w:val="20"/>
          <w:lang w:val="de-DE"/>
        </w:rPr>
        <w:t xml:space="preserve">pielung/Tombola müssen in einem angemessenen Verhältnis zueinander stehen. </w:t>
      </w:r>
    </w:p>
    <w:p w:rsidR="001C4C5D" w:rsidRDefault="001C4C5D" w:rsidP="00A5441E">
      <w:pPr>
        <w:rPr>
          <w:sz w:val="20"/>
          <w:szCs w:val="20"/>
          <w:lang w:val="de-DE"/>
        </w:rPr>
      </w:pPr>
    </w:p>
    <w:p w:rsidR="001C4C5D" w:rsidRDefault="001C4C5D" w:rsidP="00A5441E">
      <w:pPr>
        <w:rPr>
          <w:sz w:val="20"/>
          <w:szCs w:val="20"/>
          <w:lang w:val="de-DE"/>
        </w:rPr>
      </w:pPr>
      <w:r>
        <w:rPr>
          <w:sz w:val="20"/>
          <w:szCs w:val="20"/>
          <w:lang w:val="de-DE"/>
        </w:rPr>
        <w:t>Die</w:t>
      </w:r>
      <w:r w:rsidR="00610779">
        <w:rPr>
          <w:sz w:val="20"/>
          <w:szCs w:val="20"/>
          <w:lang w:val="de-DE"/>
        </w:rPr>
        <w:t>s</w:t>
      </w:r>
      <w:r>
        <w:rPr>
          <w:sz w:val="20"/>
          <w:szCs w:val="20"/>
          <w:lang w:val="de-DE"/>
        </w:rPr>
        <w:t xml:space="preserve"> bedeutet für Lotterien/Ausspielungen/Tombolas mit einem Spielkapital bis zu 40.000€, dass</w:t>
      </w:r>
    </w:p>
    <w:p w:rsidR="001C4C5D" w:rsidRDefault="001C4C5D" w:rsidP="00A5441E">
      <w:pPr>
        <w:rPr>
          <w:sz w:val="20"/>
          <w:szCs w:val="20"/>
          <w:lang w:val="de-DE"/>
        </w:rPr>
      </w:pPr>
      <w:r>
        <w:rPr>
          <w:sz w:val="20"/>
          <w:szCs w:val="20"/>
          <w:lang w:val="de-DE"/>
        </w:rPr>
        <w:t xml:space="preserve">-Gewinne im Wert von  mindestens 25 % des Spielkapitals betragen. </w:t>
      </w:r>
    </w:p>
    <w:p w:rsidR="001C4C5D" w:rsidRDefault="001C4C5D" w:rsidP="00A5441E">
      <w:pPr>
        <w:rPr>
          <w:sz w:val="20"/>
          <w:szCs w:val="20"/>
          <w:lang w:val="de-DE"/>
        </w:rPr>
      </w:pPr>
      <w:r>
        <w:rPr>
          <w:sz w:val="20"/>
          <w:szCs w:val="20"/>
          <w:lang w:val="de-DE"/>
        </w:rPr>
        <w:t>- mindestens 25 % des Spielkap</w:t>
      </w:r>
      <w:r w:rsidR="00610779">
        <w:rPr>
          <w:sz w:val="20"/>
          <w:szCs w:val="20"/>
          <w:lang w:val="de-DE"/>
        </w:rPr>
        <w:t>i</w:t>
      </w:r>
      <w:r>
        <w:rPr>
          <w:sz w:val="20"/>
          <w:szCs w:val="20"/>
          <w:lang w:val="de-DE"/>
        </w:rPr>
        <w:t>tals als Reinertrag verbleiben muss, die für den Zweck der Lotterie/Ausspielung/Tombola verwendet werden.</w:t>
      </w:r>
    </w:p>
    <w:p w:rsidR="001C4C5D" w:rsidRPr="005D5499" w:rsidRDefault="001C4C5D" w:rsidP="00A5441E">
      <w:pPr>
        <w:rPr>
          <w:sz w:val="20"/>
          <w:szCs w:val="20"/>
          <w:lang w:val="de-DE"/>
        </w:rPr>
      </w:pPr>
      <w:r>
        <w:rPr>
          <w:sz w:val="20"/>
          <w:szCs w:val="20"/>
          <w:lang w:val="de-DE"/>
        </w:rPr>
        <w:t>- Mindestens 20 % der Loste sollen zu einem Gewinn führen. Werden weniger Gewinne ausgespielt, muss sichergestellt sein, dass die Lotterie/Ausspielung/Tombola den Spielbetrieb der Teilnehmer nicht übermäßig fördert. Die Gewinne sind bezüglich Ihrer Wertigkeit angemessen zu staffeln und der Wert jedes Gewinns darf nicht unter dem Lospreis liegen.</w:t>
      </w:r>
    </w:p>
    <w:p w:rsidR="00CD1E1C" w:rsidRDefault="00CD1E1C" w:rsidP="00A5441E">
      <w:pPr>
        <w:rPr>
          <w:sz w:val="20"/>
          <w:szCs w:val="20"/>
          <w:lang w:val="de-DE"/>
        </w:rPr>
      </w:pPr>
    </w:p>
    <w:p w:rsidR="00CD1E1C" w:rsidRPr="006D7FBB" w:rsidRDefault="00CD1E1C" w:rsidP="00A5441E">
      <w:pPr>
        <w:rPr>
          <w:sz w:val="20"/>
          <w:szCs w:val="20"/>
          <w:lang w:val="de-DE"/>
        </w:rPr>
      </w:pPr>
      <w:r w:rsidRPr="00CD1E1C">
        <w:rPr>
          <w:b/>
          <w:sz w:val="20"/>
          <w:szCs w:val="20"/>
          <w:lang w:val="de-DE"/>
        </w:rPr>
        <w:t>Hinweis:</w:t>
      </w:r>
      <w:r>
        <w:rPr>
          <w:sz w:val="20"/>
          <w:szCs w:val="20"/>
          <w:lang w:val="de-DE"/>
        </w:rPr>
        <w:t xml:space="preserve"> Aus den Einnahmen des Losverkaufes, dürfen nur die Auslagen für die Anschaffung der Gewinngegenstände, für Lose, für Bestreitung der Lotteriesteuer und Gebühren , nicht aber auch sonstige Kosten der Veranstaltung, wie Musik, Saalmiete, Ausstattung usw. ge</w:t>
      </w:r>
      <w:r w:rsidR="00F74FEE">
        <w:rPr>
          <w:sz w:val="20"/>
          <w:szCs w:val="20"/>
          <w:lang w:val="de-DE"/>
        </w:rPr>
        <w:t xml:space="preserve">deckt werden. Lotterien sind außerdem rechtzeitig vor Beginn beim zuständigen Finanzamt in München (Schwaben) anzumelden, wenn der Gesamtpreis der Lose 650 € übersteigt. </w:t>
      </w:r>
    </w:p>
    <w:p w:rsidR="006D7FBB" w:rsidRDefault="006D7FBB" w:rsidP="00A5441E">
      <w:pPr>
        <w:shd w:val="clear" w:color="auto" w:fill="FFFFFF" w:themeFill="background1"/>
        <w:rPr>
          <w:rFonts w:ascii="Arial" w:hAnsi="Arial" w:cs="Arial"/>
          <w:b/>
          <w:lang w:val="de-DE"/>
        </w:rPr>
      </w:pPr>
    </w:p>
    <w:p w:rsidR="00BB6534" w:rsidRPr="006D7FBB" w:rsidRDefault="004977A0" w:rsidP="00A5441E">
      <w:pPr>
        <w:shd w:val="clear" w:color="auto" w:fill="BFBFBF" w:themeFill="background1" w:themeFillShade="BF"/>
        <w:rPr>
          <w:rFonts w:ascii="Arial" w:hAnsi="Arial" w:cs="Arial"/>
          <w:b/>
          <w:lang w:val="de-DE"/>
        </w:rPr>
      </w:pPr>
      <w:r w:rsidRPr="006D7FBB">
        <w:rPr>
          <w:rFonts w:ascii="Arial" w:hAnsi="Arial" w:cs="Arial"/>
          <w:b/>
          <w:lang w:val="de-DE"/>
        </w:rPr>
        <w:t>Von welchen Regelungen ist die Abweichung möglich</w:t>
      </w:r>
      <w:r w:rsidR="00C56CAE" w:rsidRPr="006D7FBB">
        <w:rPr>
          <w:rFonts w:ascii="Arial" w:hAnsi="Arial" w:cs="Arial"/>
          <w:b/>
          <w:lang w:val="de-DE"/>
        </w:rPr>
        <w:t xml:space="preserve"> bei sog. kleinen Lotterien und bei der Allgemeinverfügung</w:t>
      </w:r>
      <w:r w:rsidR="00FF65DA">
        <w:rPr>
          <w:rFonts w:ascii="Arial" w:hAnsi="Arial" w:cs="Arial"/>
          <w:b/>
          <w:lang w:val="de-DE"/>
        </w:rPr>
        <w:t xml:space="preserve"> (§ </w:t>
      </w:r>
      <w:r w:rsidR="00F74FEE">
        <w:rPr>
          <w:rFonts w:ascii="Arial" w:hAnsi="Arial" w:cs="Arial"/>
          <w:b/>
          <w:lang w:val="de-DE"/>
        </w:rPr>
        <w:t>3</w:t>
      </w:r>
      <w:r w:rsidR="006D7FBB" w:rsidRPr="006D7FBB">
        <w:rPr>
          <w:rFonts w:ascii="Arial" w:hAnsi="Arial" w:cs="Arial"/>
          <w:b/>
          <w:lang w:val="de-DE"/>
        </w:rPr>
        <w:t xml:space="preserve"> Abs. 3 GlüStV)</w:t>
      </w:r>
      <w:r w:rsidR="00A279D9">
        <w:rPr>
          <w:rFonts w:ascii="Arial" w:hAnsi="Arial" w:cs="Arial"/>
          <w:b/>
          <w:lang w:val="de-DE"/>
        </w:rPr>
        <w:t>?</w:t>
      </w:r>
    </w:p>
    <w:p w:rsidR="006D7FBB" w:rsidRDefault="006D7FBB" w:rsidP="00A5441E">
      <w:pPr>
        <w:rPr>
          <w:sz w:val="18"/>
          <w:szCs w:val="18"/>
          <w:lang w:val="de-DE"/>
        </w:rPr>
      </w:pPr>
    </w:p>
    <w:p w:rsidR="00C304B3" w:rsidRDefault="00C304B3" w:rsidP="00A5441E">
      <w:pPr>
        <w:rPr>
          <w:sz w:val="20"/>
          <w:szCs w:val="20"/>
          <w:lang w:val="de-DE"/>
        </w:rPr>
      </w:pPr>
      <w:r w:rsidRPr="006D7FBB">
        <w:rPr>
          <w:sz w:val="20"/>
          <w:szCs w:val="20"/>
          <w:lang w:val="de-DE"/>
        </w:rPr>
        <w:t xml:space="preserve">- </w:t>
      </w:r>
      <w:r w:rsidR="004977A0" w:rsidRPr="006D7FBB">
        <w:rPr>
          <w:sz w:val="20"/>
          <w:szCs w:val="20"/>
          <w:lang w:val="de-DE"/>
        </w:rPr>
        <w:t xml:space="preserve"> § 4 Abs. 3 Sätze 2 und 3 GlüStV (=Die Teilnahme von Minderjährigen ist unzulässig. Die Veranstalter und die Vermittler haben sicherzustellen, dass Minderjährige von der Teilnahme ausgeschlossen sind)</w:t>
      </w:r>
    </w:p>
    <w:p w:rsidR="006D7FBB" w:rsidRPr="006D7FBB" w:rsidRDefault="006D7FBB" w:rsidP="00A5441E">
      <w:pPr>
        <w:rPr>
          <w:sz w:val="20"/>
          <w:szCs w:val="20"/>
          <w:lang w:val="de-DE"/>
        </w:rPr>
      </w:pPr>
    </w:p>
    <w:p w:rsidR="00BB6534" w:rsidRDefault="004977A0" w:rsidP="00A5441E">
      <w:pPr>
        <w:rPr>
          <w:sz w:val="20"/>
          <w:szCs w:val="20"/>
          <w:lang w:val="de-DE"/>
        </w:rPr>
      </w:pPr>
      <w:r w:rsidRPr="006D7FBB">
        <w:rPr>
          <w:sz w:val="20"/>
          <w:szCs w:val="20"/>
          <w:lang w:val="de-DE"/>
        </w:rPr>
        <w:t>-  § 14 Abs. 1 Satz 1 Nr. 1 GlüStV (</w:t>
      </w:r>
      <w:r w:rsidR="00D81A69" w:rsidRPr="006D7FBB">
        <w:rPr>
          <w:sz w:val="20"/>
          <w:szCs w:val="20"/>
          <w:lang w:val="de-DE"/>
        </w:rPr>
        <w:t>=</w:t>
      </w:r>
      <w:r w:rsidRPr="006D7FBB">
        <w:rPr>
          <w:sz w:val="20"/>
          <w:szCs w:val="20"/>
          <w:lang w:val="de-DE"/>
        </w:rPr>
        <w:t>Eine Erlaubnis darf nur erteilt werden, wenn der Veranstalter die Voraussetzungen des § 5 Abs. 1 Nr. 9 des Körperschaftssteuergesetz erfüllt. § 5 Abs. 1 Nr. 9 = Körperschaften, Personenvereinigungen und Vermögensmassen, die nach der Satzung, dem Stiftungsgeschäft oder der sonstigen Verfassung und nach der tatsächlichen Geschäftsführung ausschließlich und unmittelbar gemeinnützigen, mildtätigen oder kirchlichen Zwecken dienen.</w:t>
      </w:r>
    </w:p>
    <w:p w:rsidR="006D7FBB" w:rsidRPr="006D7FBB" w:rsidRDefault="006D7FBB" w:rsidP="00A5441E">
      <w:pPr>
        <w:rPr>
          <w:sz w:val="20"/>
          <w:szCs w:val="20"/>
          <w:lang w:val="de-DE"/>
        </w:rPr>
      </w:pPr>
    </w:p>
    <w:p w:rsidR="004977A0" w:rsidRDefault="00C56CAE" w:rsidP="00A5441E">
      <w:pPr>
        <w:rPr>
          <w:sz w:val="20"/>
          <w:szCs w:val="20"/>
          <w:lang w:val="de-DE"/>
        </w:rPr>
      </w:pPr>
      <w:r w:rsidRPr="006D7FBB">
        <w:rPr>
          <w:sz w:val="20"/>
          <w:szCs w:val="20"/>
          <w:lang w:val="de-DE"/>
        </w:rPr>
        <w:t>- § 15 Abs. 1 Sätze 4 und 5 GlüStV</w:t>
      </w:r>
      <w:r w:rsidR="00D81A69" w:rsidRPr="006D7FBB">
        <w:rPr>
          <w:sz w:val="20"/>
          <w:szCs w:val="20"/>
          <w:lang w:val="de-DE"/>
        </w:rPr>
        <w:t xml:space="preserve"> (=Bei der Antragstellung ist eine Kalkulation vorzulegen, aus der sich die voraussichtlichen Kosten der Veranstaltung, die Gewinnsumme, die Steuern und der Reinertrag ergeben. Zeigt sich nach Erteilung der Erlaubnis, dass die kalkulierten Kosten voraussichtlich überschritten werden, ist dies der Erlaubnisbehörde unverzüglich anzuzeigen und eine neue Kalkulation vorzulegen).</w:t>
      </w:r>
    </w:p>
    <w:p w:rsidR="006D7FBB" w:rsidRPr="006D7FBB" w:rsidRDefault="006D7FBB" w:rsidP="00A5441E">
      <w:pPr>
        <w:rPr>
          <w:sz w:val="20"/>
          <w:szCs w:val="20"/>
          <w:lang w:val="de-DE"/>
        </w:rPr>
      </w:pPr>
    </w:p>
    <w:p w:rsidR="004977A0" w:rsidRDefault="007753DD" w:rsidP="00A5441E">
      <w:pPr>
        <w:rPr>
          <w:sz w:val="20"/>
          <w:szCs w:val="20"/>
          <w:lang w:val="de-DE"/>
        </w:rPr>
      </w:pPr>
      <w:r w:rsidRPr="006D7FBB">
        <w:rPr>
          <w:sz w:val="20"/>
          <w:szCs w:val="20"/>
          <w:lang w:val="de-DE"/>
        </w:rPr>
        <w:lastRenderedPageBreak/>
        <w:t>- § 15 Abs. 3 Satz 2 GlüStV (=</w:t>
      </w:r>
      <w:r w:rsidR="00827B66" w:rsidRPr="006D7FBB">
        <w:rPr>
          <w:sz w:val="20"/>
          <w:szCs w:val="20"/>
          <w:lang w:val="de-DE"/>
        </w:rPr>
        <w:t>Insbesondere hat der Veranstalter eine Abrechnung vorzulegen, aus der sich die tatsächliche Höhe der Einnahmen, des Reinertrages, der Gewinnausschüttung und der Kosten der Veranstaltung ergibt)</w:t>
      </w:r>
    </w:p>
    <w:p w:rsidR="006D7FBB" w:rsidRPr="006D7FBB" w:rsidRDefault="006D7FBB" w:rsidP="00A5441E">
      <w:pPr>
        <w:rPr>
          <w:sz w:val="20"/>
          <w:szCs w:val="20"/>
          <w:lang w:val="de-DE"/>
        </w:rPr>
      </w:pPr>
    </w:p>
    <w:p w:rsidR="004977A0" w:rsidRPr="006D7FBB" w:rsidRDefault="00A12DCB" w:rsidP="00A5441E">
      <w:pPr>
        <w:rPr>
          <w:sz w:val="20"/>
          <w:szCs w:val="20"/>
          <w:lang w:val="de-DE"/>
        </w:rPr>
      </w:pPr>
      <w:r w:rsidRPr="006D7FBB">
        <w:rPr>
          <w:sz w:val="20"/>
          <w:szCs w:val="20"/>
          <w:lang w:val="de-DE"/>
        </w:rPr>
        <w:t>- § 17 GlüStV (Eine Erlaubnis wird schriftlich erteilt. In ihr sind insbesondere festzulegen: 1. der Veranstalter oder evtl. Dritte; 2. Art, Ort oder Gebiet sowie Beginn und Dauer der Veranstaltung; 3. der Verwendungszweck des Reinertrages, die Art und Weise des Nachweises der Verwendung und der Zeitpunkt, zu dem der Nachweis zu erbringen ist; 4. der Spielplan; 5. die Vertriebsform)</w:t>
      </w:r>
    </w:p>
    <w:p w:rsidR="000B39CF" w:rsidRDefault="000B39CF" w:rsidP="00A5441E">
      <w:pPr>
        <w:rPr>
          <w:sz w:val="18"/>
          <w:szCs w:val="18"/>
          <w:lang w:val="de-DE"/>
        </w:rPr>
      </w:pPr>
    </w:p>
    <w:p w:rsidR="000B39CF" w:rsidRDefault="000B39CF" w:rsidP="00A5441E">
      <w:pPr>
        <w:rPr>
          <w:sz w:val="18"/>
          <w:szCs w:val="18"/>
          <w:lang w:val="de-DE"/>
        </w:rPr>
      </w:pPr>
    </w:p>
    <w:p w:rsidR="000B39CF" w:rsidRPr="006D7FBB" w:rsidRDefault="000B39CF" w:rsidP="00A5441E">
      <w:pPr>
        <w:shd w:val="clear" w:color="auto" w:fill="BFBFBF" w:themeFill="background1" w:themeFillShade="BF"/>
        <w:rPr>
          <w:rFonts w:ascii="Arial" w:hAnsi="Arial" w:cs="Arial"/>
          <w:b/>
          <w:lang w:val="de-DE"/>
        </w:rPr>
      </w:pPr>
      <w:r w:rsidRPr="006D7FBB">
        <w:rPr>
          <w:rFonts w:ascii="Arial" w:hAnsi="Arial" w:cs="Arial"/>
          <w:b/>
          <w:lang w:val="de-DE"/>
        </w:rPr>
        <w:t>Wann ist die Gemeinde für die Erlaubniserteilung einer Lotterie / Ausspielung zuständig?</w:t>
      </w:r>
    </w:p>
    <w:p w:rsidR="006D7FBB" w:rsidRDefault="006D7FBB" w:rsidP="00A5441E">
      <w:pPr>
        <w:rPr>
          <w:sz w:val="20"/>
          <w:szCs w:val="20"/>
          <w:lang w:val="de-DE"/>
        </w:rPr>
      </w:pPr>
    </w:p>
    <w:p w:rsidR="00BB6534" w:rsidRPr="00BB6534" w:rsidRDefault="00CD1E1C" w:rsidP="00A5441E">
      <w:pPr>
        <w:rPr>
          <w:lang w:val="de-DE"/>
        </w:rPr>
      </w:pPr>
      <w:r>
        <w:rPr>
          <w:sz w:val="20"/>
          <w:szCs w:val="20"/>
          <w:lang w:val="de-DE"/>
        </w:rPr>
        <w:t>Lotterien und Aussp</w:t>
      </w:r>
      <w:r w:rsidR="000B39CF">
        <w:rPr>
          <w:sz w:val="20"/>
          <w:szCs w:val="20"/>
          <w:lang w:val="de-DE"/>
        </w:rPr>
        <w:t>i</w:t>
      </w:r>
      <w:r>
        <w:rPr>
          <w:sz w:val="20"/>
          <w:szCs w:val="20"/>
          <w:lang w:val="de-DE"/>
        </w:rPr>
        <w:t>e</w:t>
      </w:r>
      <w:r w:rsidR="000B39CF">
        <w:rPr>
          <w:sz w:val="20"/>
          <w:szCs w:val="20"/>
          <w:lang w:val="de-DE"/>
        </w:rPr>
        <w:t xml:space="preserve">lungen, die sich </w:t>
      </w:r>
      <w:r w:rsidR="008D6125">
        <w:rPr>
          <w:sz w:val="20"/>
          <w:szCs w:val="20"/>
          <w:lang w:val="de-DE"/>
        </w:rPr>
        <w:t xml:space="preserve">im  Gemeindegebiet </w:t>
      </w:r>
      <w:r w:rsidR="000B39CF">
        <w:rPr>
          <w:sz w:val="20"/>
          <w:szCs w:val="20"/>
          <w:lang w:val="de-DE"/>
        </w:rPr>
        <w:t>erstrecken und bei denen die Summe der zu entrichte</w:t>
      </w:r>
      <w:r w:rsidR="008D6125">
        <w:rPr>
          <w:sz w:val="20"/>
          <w:szCs w:val="20"/>
          <w:lang w:val="de-DE"/>
        </w:rPr>
        <w:t>nden Entgelte den Betrag von 650 € bis 40.</w:t>
      </w:r>
      <w:r w:rsidR="000B39CF">
        <w:rPr>
          <w:sz w:val="20"/>
          <w:szCs w:val="20"/>
          <w:lang w:val="de-DE"/>
        </w:rPr>
        <w:t>000 € nicht übersteigen (= Art. 3 Abs. 2 Nr. 1 AGGlüStV)</w:t>
      </w:r>
    </w:p>
    <w:sectPr w:rsidR="00BB6534" w:rsidRPr="00BB6534" w:rsidSect="00A5441E">
      <w:pgSz w:w="11906" w:h="16838"/>
      <w:pgMar w:top="568" w:right="141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BB6534"/>
    <w:rsid w:val="00052919"/>
    <w:rsid w:val="00095EFB"/>
    <w:rsid w:val="000A2576"/>
    <w:rsid w:val="000B39CF"/>
    <w:rsid w:val="000D5913"/>
    <w:rsid w:val="000F2003"/>
    <w:rsid w:val="001813E3"/>
    <w:rsid w:val="001A15CB"/>
    <w:rsid w:val="001C4C5D"/>
    <w:rsid w:val="002015AB"/>
    <w:rsid w:val="002A1BDC"/>
    <w:rsid w:val="00364591"/>
    <w:rsid w:val="003B64AB"/>
    <w:rsid w:val="004977A0"/>
    <w:rsid w:val="004D0832"/>
    <w:rsid w:val="0055338A"/>
    <w:rsid w:val="0057677B"/>
    <w:rsid w:val="0058733D"/>
    <w:rsid w:val="005B4CC3"/>
    <w:rsid w:val="005D5499"/>
    <w:rsid w:val="00610038"/>
    <w:rsid w:val="00610779"/>
    <w:rsid w:val="00626402"/>
    <w:rsid w:val="00652DA6"/>
    <w:rsid w:val="006D7FBB"/>
    <w:rsid w:val="006F5ADF"/>
    <w:rsid w:val="00712D63"/>
    <w:rsid w:val="007753DD"/>
    <w:rsid w:val="00827B66"/>
    <w:rsid w:val="008B32B8"/>
    <w:rsid w:val="008D6125"/>
    <w:rsid w:val="008E0ECE"/>
    <w:rsid w:val="00943F38"/>
    <w:rsid w:val="00976274"/>
    <w:rsid w:val="009C4B32"/>
    <w:rsid w:val="009E1F57"/>
    <w:rsid w:val="00A12DCB"/>
    <w:rsid w:val="00A279D9"/>
    <w:rsid w:val="00A47F5D"/>
    <w:rsid w:val="00A5441E"/>
    <w:rsid w:val="00A63D52"/>
    <w:rsid w:val="00BB6534"/>
    <w:rsid w:val="00C304B3"/>
    <w:rsid w:val="00C56CAE"/>
    <w:rsid w:val="00CD1E1C"/>
    <w:rsid w:val="00D731E7"/>
    <w:rsid w:val="00D81A69"/>
    <w:rsid w:val="00D95FF4"/>
    <w:rsid w:val="00DD5AB7"/>
    <w:rsid w:val="00E703FE"/>
    <w:rsid w:val="00EA22DA"/>
    <w:rsid w:val="00F74FEE"/>
    <w:rsid w:val="00FF65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4CC3"/>
  </w:style>
  <w:style w:type="paragraph" w:styleId="berschrift1">
    <w:name w:val="heading 1"/>
    <w:basedOn w:val="Standard"/>
    <w:next w:val="Standard"/>
    <w:link w:val="berschrift1Zchn"/>
    <w:uiPriority w:val="9"/>
    <w:qFormat/>
    <w:rsid w:val="005B4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B4C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B4CC3"/>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B4CC3"/>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B4CC3"/>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B4CC3"/>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B4CC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B4CC3"/>
    <w:pPr>
      <w:keepNext/>
      <w:keepLines/>
      <w:spacing w:before="20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5B4CC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B4CC3"/>
    <w:rPr>
      <w:lang w:val="de-DE"/>
    </w:rPr>
  </w:style>
  <w:style w:type="character" w:customStyle="1" w:styleId="berschrift1Zchn">
    <w:name w:val="Überschrift 1 Zchn"/>
    <w:basedOn w:val="Absatz-Standardschriftart"/>
    <w:link w:val="berschrift1"/>
    <w:uiPriority w:val="9"/>
    <w:rsid w:val="005B4CC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5B4CC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B4CC3"/>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B4CC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B4CC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5B4CC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5B4CC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5B4CC3"/>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5B4CC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5B4CC3"/>
    <w:rPr>
      <w:b/>
      <w:bCs/>
      <w:color w:val="4F81BD" w:themeColor="accent1"/>
      <w:sz w:val="18"/>
      <w:szCs w:val="18"/>
    </w:rPr>
  </w:style>
  <w:style w:type="paragraph" w:styleId="Titel">
    <w:name w:val="Title"/>
    <w:basedOn w:val="Standard"/>
    <w:next w:val="Standard"/>
    <w:link w:val="TitelZchn"/>
    <w:uiPriority w:val="10"/>
    <w:qFormat/>
    <w:rsid w:val="005B4C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B4CC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5B4C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B4CC3"/>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5B4CC3"/>
    <w:rPr>
      <w:b/>
      <w:bCs/>
    </w:rPr>
  </w:style>
  <w:style w:type="character" w:styleId="Hervorhebung">
    <w:name w:val="Emphasis"/>
    <w:basedOn w:val="Absatz-Standardschriftart"/>
    <w:uiPriority w:val="20"/>
    <w:qFormat/>
    <w:rsid w:val="005B4CC3"/>
    <w:rPr>
      <w:i/>
      <w:iCs/>
    </w:rPr>
  </w:style>
  <w:style w:type="paragraph" w:styleId="Listenabsatz">
    <w:name w:val="List Paragraph"/>
    <w:basedOn w:val="Standard"/>
    <w:uiPriority w:val="34"/>
    <w:qFormat/>
    <w:rsid w:val="005B4CC3"/>
    <w:pPr>
      <w:ind w:left="720"/>
      <w:contextualSpacing/>
    </w:pPr>
  </w:style>
  <w:style w:type="paragraph" w:styleId="Anfhrungszeichen">
    <w:name w:val="Quote"/>
    <w:basedOn w:val="Standard"/>
    <w:next w:val="Standard"/>
    <w:link w:val="AnfhrungszeichenZchn"/>
    <w:uiPriority w:val="29"/>
    <w:qFormat/>
    <w:rsid w:val="005B4CC3"/>
    <w:rPr>
      <w:i/>
      <w:iCs/>
      <w:color w:val="000000" w:themeColor="text1"/>
    </w:rPr>
  </w:style>
  <w:style w:type="character" w:customStyle="1" w:styleId="AnfhrungszeichenZchn">
    <w:name w:val="Anführungszeichen Zchn"/>
    <w:basedOn w:val="Absatz-Standardschriftart"/>
    <w:link w:val="Anfhrungszeichen"/>
    <w:uiPriority w:val="29"/>
    <w:rsid w:val="005B4CC3"/>
    <w:rPr>
      <w:i/>
      <w:iCs/>
      <w:color w:val="000000" w:themeColor="text1"/>
    </w:rPr>
  </w:style>
  <w:style w:type="paragraph" w:styleId="IntensivesAnfhrungszeichen">
    <w:name w:val="Intense Quote"/>
    <w:basedOn w:val="Standard"/>
    <w:next w:val="Standard"/>
    <w:link w:val="IntensivesAnfhrungszeichenZchn"/>
    <w:uiPriority w:val="30"/>
    <w:qFormat/>
    <w:rsid w:val="005B4CC3"/>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5B4CC3"/>
    <w:rPr>
      <w:b/>
      <w:bCs/>
      <w:i/>
      <w:iCs/>
      <w:color w:val="4F81BD" w:themeColor="accent1"/>
    </w:rPr>
  </w:style>
  <w:style w:type="character" w:styleId="SchwacheHervorhebung">
    <w:name w:val="Subtle Emphasis"/>
    <w:basedOn w:val="Absatz-Standardschriftart"/>
    <w:uiPriority w:val="19"/>
    <w:qFormat/>
    <w:rsid w:val="005B4CC3"/>
    <w:rPr>
      <w:i/>
      <w:iCs/>
      <w:color w:val="808080" w:themeColor="text1" w:themeTint="7F"/>
    </w:rPr>
  </w:style>
  <w:style w:type="character" w:styleId="IntensiveHervorhebung">
    <w:name w:val="Intense Emphasis"/>
    <w:basedOn w:val="Absatz-Standardschriftart"/>
    <w:uiPriority w:val="21"/>
    <w:qFormat/>
    <w:rsid w:val="005B4CC3"/>
    <w:rPr>
      <w:b/>
      <w:bCs/>
      <w:i/>
      <w:iCs/>
      <w:color w:val="4F81BD" w:themeColor="accent1"/>
    </w:rPr>
  </w:style>
  <w:style w:type="character" w:styleId="SchwacherVerweis">
    <w:name w:val="Subtle Reference"/>
    <w:basedOn w:val="Absatz-Standardschriftart"/>
    <w:uiPriority w:val="31"/>
    <w:qFormat/>
    <w:rsid w:val="005B4CC3"/>
    <w:rPr>
      <w:smallCaps/>
      <w:color w:val="C0504D" w:themeColor="accent2"/>
      <w:u w:val="single"/>
    </w:rPr>
  </w:style>
  <w:style w:type="character" w:styleId="IntensiverVerweis">
    <w:name w:val="Intense Reference"/>
    <w:basedOn w:val="Absatz-Standardschriftart"/>
    <w:uiPriority w:val="32"/>
    <w:qFormat/>
    <w:rsid w:val="005B4CC3"/>
    <w:rPr>
      <w:b/>
      <w:bCs/>
      <w:smallCaps/>
      <w:color w:val="C0504D" w:themeColor="accent2"/>
      <w:spacing w:val="5"/>
      <w:u w:val="single"/>
    </w:rPr>
  </w:style>
  <w:style w:type="character" w:styleId="Buchtitel">
    <w:name w:val="Book Title"/>
    <w:basedOn w:val="Absatz-Standardschriftart"/>
    <w:uiPriority w:val="33"/>
    <w:qFormat/>
    <w:rsid w:val="005B4CC3"/>
    <w:rPr>
      <w:b/>
      <w:bCs/>
      <w:smallCaps/>
      <w:spacing w:val="5"/>
    </w:rPr>
  </w:style>
  <w:style w:type="paragraph" w:styleId="Inhaltsverzeichnisberschrift">
    <w:name w:val="TOC Heading"/>
    <w:basedOn w:val="berschrift1"/>
    <w:next w:val="Standard"/>
    <w:uiPriority w:val="39"/>
    <w:semiHidden/>
    <w:unhideWhenUsed/>
    <w:qFormat/>
    <w:rsid w:val="005B4CC3"/>
    <w:pPr>
      <w:outlineLvl w:val="9"/>
    </w:pPr>
  </w:style>
  <w:style w:type="paragraph" w:customStyle="1" w:styleId="Standard1">
    <w:name w:val="Standard1"/>
    <w:basedOn w:val="KeinLeerraum"/>
    <w:next w:val="KeinLeerraum"/>
    <w:rsid w:val="00610038"/>
  </w:style>
  <w:style w:type="paragraph" w:styleId="StandardWeb">
    <w:name w:val="Normal (Web)"/>
    <w:basedOn w:val="Standard"/>
    <w:uiPriority w:val="99"/>
    <w:unhideWhenUsed/>
    <w:rsid w:val="004977A0"/>
    <w:pPr>
      <w:spacing w:before="100" w:beforeAutospacing="1" w:after="100" w:afterAutospacing="1"/>
    </w:pPr>
    <w:rPr>
      <w:rFonts w:ascii="Times New Roman" w:eastAsia="Times New Roman" w:hAnsi="Times New Roman" w:cs="Times New Roman"/>
      <w:sz w:val="24"/>
      <w:szCs w:val="24"/>
      <w:lang w:val="de-DE" w:eastAsia="de-DE" w:bidi="ar-SA"/>
    </w:rPr>
  </w:style>
</w:styles>
</file>

<file path=word/webSettings.xml><?xml version="1.0" encoding="utf-8"?>
<w:webSettings xmlns:r="http://schemas.openxmlformats.org/officeDocument/2006/relationships" xmlns:w="http://schemas.openxmlformats.org/wordprocessingml/2006/main">
  <w:divs>
    <w:div w:id="632179225">
      <w:bodyDiv w:val="1"/>
      <w:marLeft w:val="0"/>
      <w:marRight w:val="0"/>
      <w:marTop w:val="0"/>
      <w:marBottom w:val="0"/>
      <w:divBdr>
        <w:top w:val="none" w:sz="0" w:space="0" w:color="auto"/>
        <w:left w:val="none" w:sz="0" w:space="0" w:color="auto"/>
        <w:bottom w:val="none" w:sz="0" w:space="0" w:color="auto"/>
        <w:right w:val="none" w:sz="0" w:space="0" w:color="auto"/>
      </w:divBdr>
      <w:divsChild>
        <w:div w:id="1494954802">
          <w:marLeft w:val="0"/>
          <w:marRight w:val="0"/>
          <w:marTop w:val="0"/>
          <w:marBottom w:val="0"/>
          <w:divBdr>
            <w:top w:val="none" w:sz="0" w:space="0" w:color="auto"/>
            <w:left w:val="none" w:sz="0" w:space="0" w:color="auto"/>
            <w:bottom w:val="none" w:sz="0" w:space="0" w:color="auto"/>
            <w:right w:val="none" w:sz="0" w:space="0" w:color="auto"/>
          </w:divBdr>
        </w:div>
        <w:div w:id="297106819">
          <w:marLeft w:val="0"/>
          <w:marRight w:val="0"/>
          <w:marTop w:val="0"/>
          <w:marBottom w:val="0"/>
          <w:divBdr>
            <w:top w:val="none" w:sz="0" w:space="0" w:color="auto"/>
            <w:left w:val="none" w:sz="0" w:space="0" w:color="auto"/>
            <w:bottom w:val="none" w:sz="0" w:space="0" w:color="auto"/>
            <w:right w:val="none" w:sz="0" w:space="0" w:color="auto"/>
          </w:divBdr>
        </w:div>
        <w:div w:id="861748619">
          <w:marLeft w:val="0"/>
          <w:marRight w:val="0"/>
          <w:marTop w:val="0"/>
          <w:marBottom w:val="0"/>
          <w:divBdr>
            <w:top w:val="none" w:sz="0" w:space="0" w:color="auto"/>
            <w:left w:val="none" w:sz="0" w:space="0" w:color="auto"/>
            <w:bottom w:val="none" w:sz="0" w:space="0" w:color="auto"/>
            <w:right w:val="none" w:sz="0" w:space="0" w:color="auto"/>
          </w:divBdr>
        </w:div>
        <w:div w:id="637343343">
          <w:marLeft w:val="0"/>
          <w:marRight w:val="0"/>
          <w:marTop w:val="0"/>
          <w:marBottom w:val="0"/>
          <w:divBdr>
            <w:top w:val="none" w:sz="0" w:space="0" w:color="auto"/>
            <w:left w:val="none" w:sz="0" w:space="0" w:color="auto"/>
            <w:bottom w:val="none" w:sz="0" w:space="0" w:color="auto"/>
            <w:right w:val="none" w:sz="0" w:space="0" w:color="auto"/>
          </w:divBdr>
        </w:div>
        <w:div w:id="756096820">
          <w:marLeft w:val="0"/>
          <w:marRight w:val="0"/>
          <w:marTop w:val="0"/>
          <w:marBottom w:val="0"/>
          <w:divBdr>
            <w:top w:val="none" w:sz="0" w:space="0" w:color="auto"/>
            <w:left w:val="none" w:sz="0" w:space="0" w:color="auto"/>
            <w:bottom w:val="none" w:sz="0" w:space="0" w:color="auto"/>
            <w:right w:val="none" w:sz="0" w:space="0" w:color="auto"/>
          </w:divBdr>
        </w:div>
      </w:divsChild>
    </w:div>
    <w:div w:id="1454783740">
      <w:bodyDiv w:val="1"/>
      <w:marLeft w:val="0"/>
      <w:marRight w:val="0"/>
      <w:marTop w:val="0"/>
      <w:marBottom w:val="0"/>
      <w:divBdr>
        <w:top w:val="none" w:sz="0" w:space="0" w:color="auto"/>
        <w:left w:val="none" w:sz="0" w:space="0" w:color="auto"/>
        <w:bottom w:val="none" w:sz="0" w:space="0" w:color="auto"/>
        <w:right w:val="none" w:sz="0" w:space="0" w:color="auto"/>
      </w:divBdr>
      <w:divsChild>
        <w:div w:id="822310138">
          <w:marLeft w:val="0"/>
          <w:marRight w:val="0"/>
          <w:marTop w:val="0"/>
          <w:marBottom w:val="0"/>
          <w:divBdr>
            <w:top w:val="none" w:sz="0" w:space="0" w:color="auto"/>
            <w:left w:val="none" w:sz="0" w:space="0" w:color="auto"/>
            <w:bottom w:val="none" w:sz="0" w:space="0" w:color="auto"/>
            <w:right w:val="none" w:sz="0" w:space="0" w:color="auto"/>
          </w:divBdr>
        </w:div>
      </w:divsChild>
    </w:div>
    <w:div w:id="1711684117">
      <w:bodyDiv w:val="1"/>
      <w:marLeft w:val="0"/>
      <w:marRight w:val="0"/>
      <w:marTop w:val="0"/>
      <w:marBottom w:val="0"/>
      <w:divBdr>
        <w:top w:val="none" w:sz="0" w:space="0" w:color="auto"/>
        <w:left w:val="none" w:sz="0" w:space="0" w:color="auto"/>
        <w:bottom w:val="none" w:sz="0" w:space="0" w:color="auto"/>
        <w:right w:val="none" w:sz="0" w:space="0" w:color="auto"/>
      </w:divBdr>
      <w:divsChild>
        <w:div w:id="1031026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4320</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Schaudi</dc:creator>
  <cp:lastModifiedBy>Mayr</cp:lastModifiedBy>
  <cp:revision>2</cp:revision>
  <cp:lastPrinted>2018-11-08T08:47:00Z</cp:lastPrinted>
  <dcterms:created xsi:type="dcterms:W3CDTF">2018-11-08T15:38:00Z</dcterms:created>
  <dcterms:modified xsi:type="dcterms:W3CDTF">2018-11-08T15:38:00Z</dcterms:modified>
</cp:coreProperties>
</file>